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155 vom 14. Dezember 1988</w:t>
      </w:r>
    </w:p>
    <w:p>
      <w:r>
        <w:t>Bundesgericht (BGE), 1988-12-14, DE</w:t>
      </w:r>
    </w:p>
    <w:p>
      <w:r>
        <w:rPr>
          <w:b/>
        </w:rPr>
        <w:t xml:space="preserve">Quelle: </w:t>
      </w:r>
      <w:r>
        <w:t>https://mcp.opencaselaw.ch/entscheid/bge_116 IB 155</w:t>
      </w:r>
    </w:p>
    <w:p>
      <w:r>
        <w:t>FR: BGE 116 IB 155 du 14 décembre 1988</w:t>
      </w:r>
    </w:p>
    <w:p>
      <w:r>
        <w:t>IT: BGE 116 IB 155 del 14 dicembre 1988</w:t>
      </w:r>
    </w:p>
    <w:p>
      <w:pPr>
        <w:pStyle w:val="Heading2"/>
      </w:pPr>
      <w:r>
        <w:t>Regeste</w:t>
      </w:r>
    </w:p>
    <w:p>
      <w:r>
        <w:t>Regeste Umtausch eines ausländischen Führerausweises. Art. 44 VZV. Voraussetzungen für die Anordnung einer neuen Führerprüfung: im allgemeinen (E. 2b) und bei verkehrsgefährdender Verletzung von Verkehrsregeln (E. 2b).</w:t>
      </w:r>
    </w:p>
    <w:p>
      <w:pPr>
        <w:pStyle w:val="Heading2"/>
      </w:pPr>
      <w:r>
        <w:t>Erwägungen</w:t>
      </w:r>
    </w:p>
    <w:p>
      <w:r>
        <w:rPr>
          <w:b/>
        </w:rPr>
        <w:t>E. 2</w:t>
      </w:r>
    </w:p>
    <w:p>
      <w:r>
        <w:t>a) Nach Art. 44 Abs. 1 der Verordnung vom 27. Oktober 1976 über die Zulassung von Personen und Fahrzeugen zum Strassenverkehr (VZV; SR 741.51) bedarf der Fahrzeugführer aus dem Ausland, der seit einem Jahr in der Schweiz wohnt, ohne sich während mehr als drei zusammenhängenden Monaten im Ausland aufzuhalten, eines schweizerischen Führerausweises. Dem Inhaber eines gültigen ausländischen Führerausweises wird der schweizerische Führerausweis ohne Führerprüfung erteilt ( Art. 44 Abs. 3 Satz 1 VZV ). Eine Führerprüfung kann verlangt werden, wenn der Führer vor oder innerhalb zweier Jahre nach der Erteilung des schweizerischen Führerausweises wegen verkehrsgefährdender Verletzung von Verkehrsvorschriften bestraft worden ist ( Art. 44 Abs. 3 Satz 3 VZV ). b) Art. 44 Abs. 3 VZV dient der Verkehrssicherheit und steht in einem Zusammenhang mit Art. 14 Abs. 3 des Bundesgesetzes vom 19. Dezember 1958 über den Strassenverkehr (SVG; SR 741.01) und mit Art. 24 Abs. 1 VZV . Nach Art. 14 Abs. 3 SVG können die Behörden den Fahrzeugführer einer neuen Führerprüfung unterwerfen, wenn Bedenken über dessen Eignung als Führer bestehen, während nach Art. 24 Abs. 1 VZV eine neue Führerprüfung anzuordnen ist, wenn der Fahrzeugführer Widerhandlungen begangen hat, die an seiner Kenntnis der Verkehrsregeln, an ihrer Anwendung in der Praxis oder am fahrtechnischen Können zweifeln lassen. Diese Voraussetzungen müssen auch dann erfüllt sein, wenn nach Art. 44 Abs. 3 VZV eine neue Führerprüfung angeordnet wird. Die zuständige Behörde darf also nicht einzig und allein auf die begangene Verkehrsregelverletzung abstellen, sondern muss weitere Umstände berücksichtigen, beispielsweise Leumund, Fahrleistung und Dauer des BGE 116 Ib 155 S. 158 Führerausweisbesitzes (unveröffentlichtes Urteil des Bundesgerichts vom 17. Juni 1987 i.S. S., E. 2c). Die von der Interkantonalen Kommission für den Strassenverkehr herausgegebenen Richtlinien über die Administrativmassnahmen im Strassenverkehr vom 5. November 1981 (im folgenden: Richtlinien) umschreiben die Voraussetzungen einer neuen Führerprüfung näher. Diese Richtlinien stellen zwar keine Rechtssätze dar, doch können sie insofern berücksichtigt werden, als sie Grundsätze enthalten, die die Ansicht von Sachverständigen über die Gesetzesauslegung wiedergeben und den mit der Gesetzesanwendung betrauten Behörden dazu dienen sollen, die einschlägigen Bestimmungen rechtsgleich und anhand sachgemässer Kriterien anzuwenden ( BGE 106 Ib 254 ; unveröffentlichtes Urteil des Bundesgerichts vom 27. März 1990 i.S. Z., E. 2c). Ziff. 2.1.1 der Richtlinien nennt namentlich einige Umstände, die Bedenken hinsichtlich der Kenntnisse der Verkehrsvorschriften oder der sicheren Führung eines Fahrzeuges begründen. Ziff. 2.1.4 der Richtlinien erklärt die gleichen Grundsätze für anwendbar, wenn gegenüber Inhabern ausländischer Führerausweise eine neue Führerprüfung angeordnet werden soll. Demnach darf nach Art. 44 Abs. 3 VZV eine neue Führerprüfung nur dann angeordnet werden, wenn sie auch nach Art. 14 Abs. 3 SVG vom Inhaber eines schweizerischen Führerausweises verlangt werden dürfte. Vorausgesetzt ist in beiden Fällen, dass die neue Führerprüfung im Interesse der Verkehrssicherheit notwendig ist; sie darf insbesondere keine Strafe sein (unveröffentlichtes Urteil des Bundesgerichts vom 9. Januar 1989 i.S. R., E. 3b). c) Der Beschwerdeführer wurde bestraft, weil er in einer unübersichtlichen Kurve einen Lastenzug überholt hatte. Damit hatte der Beschwerdeführer eine verkehrsgefährdende Verletzung von Verkehrsvorschriften begangen. Indessen begründet nicht jede verkehrsgefährdende Verletzung von Verkehrsregeln Zweifel daran, ob der Fahrzeugführer die Verkehrsregeln kennt und richtig anwenden kann oder ob er sein Fahrzeug fachgerecht zu bedienen versteht. Eine neue Führerprüfung rechtfertigt sich vielmehr erst dann, wenn - neben der verkehrsgefährdenden Verletzung von Verkehrsvorschriften - die Zweifel an den Fähigkeiten des Fahrzeugführers besonders begründet werden können und darüber hinaus die Verkehrssicherheit ohne neue Führerprüfung nicht mehr gewährleistet wäre. BGE 116 Ib 155 S. 159 Um seinen deutschen Führerausweis zu erwerben, musste der Beschwerdeführer ebenso hohe Anforderungen erfüllen, wie sie an einer schweizerischen Führerprüfung gestellt werden. Er führte mit seinem ausländischen Führerausweis rund drei Jahre lang in der Schweiz offenbar anstandslos ein Motorfahrzeug. Der ihm vorgeworfene Verkehrsunfall vermag deshalb für sich allein genommen keine so erheblichen Zweifel an seiner Kenntnis der Verkehrsregeln und seinen Fähigkeiten als Fahrzeugführer zu begründen, dass eine neue Führerprüfung angeordnet werden müsste. Ausserdem liegt die von ihm begangene Verkehrsregelverletzung heute zweieinhalb Jahre zurück. Nach so langer Zeit seit der verkehrsgefährdenden Tat liegt eine neue Führerprüfung nicht mehr im Interesse der Verkehrssicherheit. Der ausländische Führerausweis des Beschwerdeführers ist deshalb in einen schweizerischen umzutauschen, ohne dass eine neue Führerprüfung angeordnet wird. Damit braucht nicht geprüft zu werden, ob der angefochtene Entscheid die Bundesverfassung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